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B23" w:rsidRDefault="0048249A">
      <w:pPr>
        <w:pStyle w:val="Titolo"/>
        <w:pageBreakBefore/>
        <w:rPr>
          <w:rFonts w:ascii="Garamond" w:hAnsi="Garamond"/>
          <w:sz w:val="24"/>
          <w:szCs w:val="24"/>
        </w:rPr>
      </w:pPr>
      <w:r w:rsidRPr="009C6FAC">
        <w:rPr>
          <w:rFonts w:ascii="Garamond" w:hAnsi="Garamond"/>
          <w:sz w:val="24"/>
          <w:szCs w:val="24"/>
        </w:rPr>
        <w:t xml:space="preserve">Scheda di sintesi sulla rilevazione degli OIV o </w:t>
      </w:r>
      <w:r w:rsidR="009A5646">
        <w:rPr>
          <w:rFonts w:ascii="Garamond" w:hAnsi="Garamond"/>
          <w:sz w:val="24"/>
          <w:szCs w:val="24"/>
        </w:rPr>
        <w:t>organismi con funzioni analoghe</w:t>
      </w:r>
    </w:p>
    <w:p w:rsidR="00C27B23" w:rsidRPr="009C6FAC" w:rsidRDefault="00C27B23">
      <w:pPr>
        <w:pStyle w:val="Paragrafoelenco"/>
        <w:ind w:left="0" w:firstLine="0"/>
        <w:rPr>
          <w:rFonts w:ascii="Garamond" w:hAnsi="Garamond"/>
        </w:rPr>
      </w:pPr>
    </w:p>
    <w:p w:rsidR="00C27B23" w:rsidRPr="009C6FAC" w:rsidRDefault="0048249A">
      <w:pPr>
        <w:pStyle w:val="Paragrafoelenco"/>
        <w:spacing w:line="360" w:lineRule="auto"/>
        <w:ind w:left="0" w:firstLine="0"/>
        <w:rPr>
          <w:rFonts w:ascii="Garamond" w:hAnsi="Garamond"/>
          <w:b/>
          <w:i/>
        </w:rPr>
      </w:pPr>
      <w:r w:rsidRPr="009C6FAC">
        <w:rPr>
          <w:rFonts w:ascii="Garamond" w:hAnsi="Garamond"/>
          <w:b/>
          <w:i/>
        </w:rPr>
        <w:t>Data di svolgimento della rilevazione</w:t>
      </w:r>
    </w:p>
    <w:p w:rsidR="00C27B23" w:rsidRPr="009C6FAC" w:rsidRDefault="00501516">
      <w:pPr>
        <w:pStyle w:val="Paragrafoelenco"/>
        <w:spacing w:after="0" w:line="276" w:lineRule="auto"/>
        <w:ind w:left="0" w:firstLine="0"/>
        <w:rPr>
          <w:rFonts w:ascii="Garamond" w:hAnsi="Garamond"/>
        </w:rPr>
      </w:pPr>
      <w:r>
        <w:rPr>
          <w:rFonts w:ascii="Garamond" w:hAnsi="Garamond"/>
        </w:rPr>
        <w:t>La</w:t>
      </w:r>
      <w:r w:rsidR="0048249A" w:rsidRPr="009C6FAC">
        <w:rPr>
          <w:rFonts w:ascii="Garamond" w:hAnsi="Garamond"/>
        </w:rPr>
        <w:t xml:space="preserve"> data di svolgimento della rilevazione </w:t>
      </w:r>
      <w:r>
        <w:rPr>
          <w:rFonts w:ascii="Garamond" w:hAnsi="Garamond"/>
        </w:rPr>
        <w:t>è il</w:t>
      </w:r>
      <w:r w:rsidR="0048249A" w:rsidRPr="009C6FAC">
        <w:rPr>
          <w:rFonts w:ascii="Garamond" w:hAnsi="Garamond"/>
        </w:rPr>
        <w:t xml:space="preserve"> </w:t>
      </w:r>
      <w:r w:rsidRPr="00501516">
        <w:rPr>
          <w:rFonts w:ascii="Garamond" w:hAnsi="Garamond"/>
          <w:color w:val="1F497D" w:themeColor="text2"/>
        </w:rPr>
        <w:t>11</w:t>
      </w:r>
      <w:r w:rsidR="0048249A" w:rsidRPr="00501516">
        <w:rPr>
          <w:rFonts w:ascii="Garamond" w:hAnsi="Garamond"/>
          <w:color w:val="1F497D" w:themeColor="text2"/>
        </w:rPr>
        <w:t>/</w:t>
      </w:r>
      <w:r w:rsidRPr="00501516">
        <w:rPr>
          <w:rFonts w:ascii="Garamond" w:hAnsi="Garamond"/>
          <w:color w:val="1F497D" w:themeColor="text2"/>
        </w:rPr>
        <w:t>04</w:t>
      </w:r>
      <w:r w:rsidR="0048249A" w:rsidRPr="00501516">
        <w:rPr>
          <w:rFonts w:ascii="Garamond" w:hAnsi="Garamond"/>
          <w:color w:val="1F497D" w:themeColor="text2"/>
        </w:rPr>
        <w:t>/</w:t>
      </w:r>
      <w:r w:rsidRPr="00501516">
        <w:rPr>
          <w:rFonts w:ascii="Garamond" w:hAnsi="Garamond"/>
          <w:color w:val="1F497D" w:themeColor="text2"/>
        </w:rPr>
        <w:t>2019</w:t>
      </w:r>
      <w:r w:rsidR="0048249A" w:rsidRPr="009C6FAC">
        <w:rPr>
          <w:rFonts w:ascii="Garamond" w:hAnsi="Garamond"/>
        </w:rPr>
        <w:t>.</w:t>
      </w:r>
    </w:p>
    <w:p w:rsidR="00C27B23" w:rsidRPr="00501516" w:rsidRDefault="00501516">
      <w:pPr>
        <w:pStyle w:val="Paragrafoelenco"/>
        <w:spacing w:line="276" w:lineRule="auto"/>
        <w:ind w:left="0" w:firstLine="0"/>
        <w:rPr>
          <w:rFonts w:ascii="Garamond" w:hAnsi="Garamond"/>
          <w:color w:val="1F497D" w:themeColor="text2"/>
        </w:rPr>
      </w:pPr>
      <w:r>
        <w:rPr>
          <w:rFonts w:ascii="Garamond" w:hAnsi="Garamond"/>
        </w:rPr>
        <w:t xml:space="preserve">Le rilevazione a valenza </w:t>
      </w:r>
      <w:r w:rsidRPr="00501516">
        <w:rPr>
          <w:rFonts w:ascii="Garamond" w:hAnsi="Garamond"/>
          <w:b/>
        </w:rPr>
        <w:t>annuale</w:t>
      </w:r>
      <w:r>
        <w:rPr>
          <w:rFonts w:ascii="Garamond" w:hAnsi="Garamond"/>
        </w:rPr>
        <w:t xml:space="preserve"> si riferiscono al periodo </w:t>
      </w:r>
      <w:r w:rsidRPr="00501516">
        <w:rPr>
          <w:rFonts w:ascii="Garamond" w:hAnsi="Garamond"/>
          <w:color w:val="1F497D" w:themeColor="text2"/>
        </w:rPr>
        <w:t>01/01/2018-31/12/2018.</w:t>
      </w:r>
    </w:p>
    <w:p w:rsidR="00501516" w:rsidRDefault="00501516" w:rsidP="00501516">
      <w:pPr>
        <w:pStyle w:val="Paragrafoelenco"/>
        <w:spacing w:line="276" w:lineRule="auto"/>
        <w:ind w:left="0" w:firstLine="0"/>
        <w:rPr>
          <w:rFonts w:ascii="Garamond" w:hAnsi="Garamond"/>
        </w:rPr>
      </w:pPr>
      <w:r>
        <w:rPr>
          <w:rFonts w:ascii="Garamond" w:hAnsi="Garamond"/>
        </w:rPr>
        <w:t xml:space="preserve">Le rilevazione a valenza </w:t>
      </w:r>
      <w:r w:rsidRPr="00501516">
        <w:rPr>
          <w:rFonts w:ascii="Garamond" w:hAnsi="Garamond"/>
          <w:b/>
        </w:rPr>
        <w:t>trimestrale</w:t>
      </w:r>
      <w:r>
        <w:rPr>
          <w:rFonts w:ascii="Garamond" w:hAnsi="Garamond"/>
        </w:rPr>
        <w:t xml:space="preserve"> si riferiscono al periodo </w:t>
      </w:r>
      <w:r w:rsidRPr="00501516">
        <w:rPr>
          <w:rFonts w:ascii="Garamond" w:hAnsi="Garamond"/>
          <w:color w:val="1F497D" w:themeColor="text2"/>
        </w:rPr>
        <w:t>01/0</w:t>
      </w:r>
      <w:r w:rsidRPr="00501516">
        <w:rPr>
          <w:rFonts w:ascii="Garamond" w:hAnsi="Garamond"/>
          <w:color w:val="1F497D" w:themeColor="text2"/>
        </w:rPr>
        <w:t>1</w:t>
      </w:r>
      <w:r w:rsidRPr="00501516">
        <w:rPr>
          <w:rFonts w:ascii="Garamond" w:hAnsi="Garamond"/>
          <w:color w:val="1F497D" w:themeColor="text2"/>
        </w:rPr>
        <w:t>/201</w:t>
      </w:r>
      <w:r w:rsidRPr="00501516">
        <w:rPr>
          <w:rFonts w:ascii="Garamond" w:hAnsi="Garamond"/>
          <w:color w:val="1F497D" w:themeColor="text2"/>
        </w:rPr>
        <w:t>9</w:t>
      </w:r>
      <w:r w:rsidRPr="00501516">
        <w:rPr>
          <w:rFonts w:ascii="Garamond" w:hAnsi="Garamond"/>
          <w:color w:val="1F497D" w:themeColor="text2"/>
        </w:rPr>
        <w:t>-31/</w:t>
      </w:r>
      <w:r w:rsidRPr="00501516">
        <w:rPr>
          <w:rFonts w:ascii="Garamond" w:hAnsi="Garamond"/>
          <w:color w:val="1F497D" w:themeColor="text2"/>
        </w:rPr>
        <w:t>03</w:t>
      </w:r>
      <w:r w:rsidRPr="00501516">
        <w:rPr>
          <w:rFonts w:ascii="Garamond" w:hAnsi="Garamond"/>
          <w:color w:val="1F497D" w:themeColor="text2"/>
        </w:rPr>
        <w:t>/201</w:t>
      </w:r>
      <w:r w:rsidRPr="00501516">
        <w:rPr>
          <w:rFonts w:ascii="Garamond" w:hAnsi="Garamond"/>
          <w:color w:val="1F497D" w:themeColor="text2"/>
        </w:rPr>
        <w:t>9</w:t>
      </w:r>
      <w:r w:rsidRPr="00501516">
        <w:rPr>
          <w:rFonts w:ascii="Garamond" w:hAnsi="Garamond"/>
          <w:color w:val="1F497D" w:themeColor="text2"/>
        </w:rPr>
        <w:t>.</w:t>
      </w:r>
    </w:p>
    <w:p w:rsidR="00501516" w:rsidRPr="009C6FAC" w:rsidRDefault="00501516">
      <w:pPr>
        <w:pStyle w:val="Paragrafoelenco"/>
        <w:spacing w:line="276" w:lineRule="auto"/>
        <w:ind w:left="0" w:firstLine="0"/>
        <w:rPr>
          <w:rFonts w:ascii="Garamond" w:hAnsi="Garamond"/>
        </w:rPr>
      </w:pPr>
    </w:p>
    <w:p w:rsidR="00C27B23" w:rsidRPr="009C6FAC" w:rsidRDefault="0048249A">
      <w:pPr>
        <w:pStyle w:val="Paragrafoelenco"/>
        <w:spacing w:after="0"/>
        <w:ind w:left="0" w:firstLine="0"/>
        <w:rPr>
          <w:rFonts w:ascii="Garamond" w:hAnsi="Garamond"/>
          <w:b/>
          <w:i/>
        </w:rPr>
      </w:pPr>
      <w:r w:rsidRPr="009C6FAC">
        <w:rPr>
          <w:rFonts w:ascii="Garamond" w:hAnsi="Garamond"/>
          <w:b/>
          <w:i/>
        </w:rPr>
        <w:t xml:space="preserve">Estensione della rilevazione (nel </w:t>
      </w:r>
      <w:r w:rsidR="00FC7906">
        <w:rPr>
          <w:rFonts w:ascii="Garamond" w:hAnsi="Garamond"/>
          <w:b/>
          <w:i/>
        </w:rPr>
        <w:t xml:space="preserve">solo </w:t>
      </w:r>
      <w:r w:rsidRPr="009C6FAC">
        <w:rPr>
          <w:rFonts w:ascii="Garamond" w:hAnsi="Garamond"/>
          <w:b/>
          <w:i/>
        </w:rPr>
        <w:t>caso di ammin</w:t>
      </w:r>
      <w:r w:rsidR="007A107C">
        <w:rPr>
          <w:rFonts w:ascii="Garamond" w:hAnsi="Garamond"/>
          <w:b/>
          <w:i/>
        </w:rPr>
        <w:t>istrazioni</w:t>
      </w:r>
      <w:r w:rsidR="00FC7906">
        <w:rPr>
          <w:rFonts w:ascii="Garamond" w:hAnsi="Garamond"/>
          <w:b/>
          <w:i/>
        </w:rPr>
        <w:t>/enti</w:t>
      </w:r>
      <w:r w:rsidR="007A107C">
        <w:rPr>
          <w:rFonts w:ascii="Garamond" w:hAnsi="Garamond"/>
          <w:b/>
          <w:i/>
        </w:rPr>
        <w:t xml:space="preserve"> con uffici periferici)</w:t>
      </w:r>
      <w:r w:rsidR="00501516">
        <w:rPr>
          <w:rFonts w:ascii="Garamond" w:hAnsi="Garamond"/>
          <w:b/>
          <w:i/>
        </w:rPr>
        <w:t xml:space="preserve">: </w:t>
      </w:r>
      <w:r w:rsidR="00501516" w:rsidRPr="00501516">
        <w:rPr>
          <w:rFonts w:ascii="Garamond" w:hAnsi="Garamond"/>
          <w:b/>
          <w:i/>
          <w:color w:val="1F497D" w:themeColor="text2"/>
        </w:rPr>
        <w:t>L’Ordine degli Avvocati di Monza e la Fondazione Forense di Monza non hanno alcun ufficio periferico</w:t>
      </w:r>
    </w:p>
    <w:p w:rsidR="00C27B23" w:rsidRPr="009C6FAC" w:rsidRDefault="00C27B23">
      <w:pPr>
        <w:pStyle w:val="Paragrafoelenco"/>
        <w:spacing w:after="0"/>
        <w:ind w:left="0" w:firstLine="0"/>
        <w:rPr>
          <w:rFonts w:ascii="Garamond" w:hAnsi="Garamond"/>
          <w:b/>
          <w:u w:val="single"/>
        </w:rPr>
      </w:pPr>
    </w:p>
    <w:p w:rsidR="00C27B23" w:rsidRPr="009C6FAC" w:rsidRDefault="0048249A" w:rsidP="007A107C">
      <w:pPr>
        <w:pStyle w:val="Paragrafoelenco"/>
        <w:spacing w:after="0" w:line="360" w:lineRule="auto"/>
        <w:ind w:left="0" w:firstLine="0"/>
        <w:rPr>
          <w:rFonts w:ascii="Garamond" w:hAnsi="Garamond"/>
        </w:rPr>
      </w:pPr>
      <w:r w:rsidRPr="009C6FAC">
        <w:rPr>
          <w:rFonts w:ascii="Garamond" w:hAnsi="Garamond"/>
        </w:rPr>
        <w:t>Indicare il numero complessivo degli uffici periferici esistenti</w:t>
      </w:r>
      <w:r w:rsidR="00713BFD">
        <w:rPr>
          <w:rFonts w:ascii="Garamond" w:hAnsi="Garamond"/>
        </w:rPr>
        <w:t xml:space="preserve"> e, se diverse, le tipologie di uffici periferici</w:t>
      </w:r>
      <w:r w:rsidRPr="009C6FAC">
        <w:rPr>
          <w:rFonts w:ascii="Garamond" w:hAnsi="Garamond"/>
        </w:rPr>
        <w:t>.</w:t>
      </w:r>
    </w:p>
    <w:p w:rsidR="00C27B23" w:rsidRPr="007A107C" w:rsidRDefault="0048249A" w:rsidP="00713BFD">
      <w:pPr>
        <w:pStyle w:val="Paragrafoelenco"/>
        <w:spacing w:after="0" w:line="360" w:lineRule="auto"/>
        <w:ind w:left="0" w:firstLine="0"/>
        <w:rPr>
          <w:rFonts w:ascii="Garamond" w:hAnsi="Garamond"/>
        </w:rPr>
      </w:pPr>
      <w:r w:rsidRPr="009C6FAC">
        <w:rPr>
          <w:rFonts w:ascii="Garamond" w:hAnsi="Garamond"/>
        </w:rPr>
        <w:t>Per la formazione del campione di uffici periferici su cui effettuare la rilevazione, indicare</w:t>
      </w:r>
      <w:r w:rsidR="00713BFD">
        <w:rPr>
          <w:rFonts w:ascii="Garamond" w:hAnsi="Garamond"/>
        </w:rPr>
        <w:t xml:space="preserve"> </w:t>
      </w:r>
      <w:r w:rsidRPr="007A107C">
        <w:rPr>
          <w:rFonts w:ascii="Garamond" w:hAnsi="Garamond"/>
        </w:rPr>
        <w:t>il criterio di selezione del campione</w:t>
      </w:r>
      <w:r w:rsidR="00713BFD">
        <w:rPr>
          <w:rFonts w:ascii="Garamond" w:hAnsi="Garamond"/>
        </w:rPr>
        <w:t>.</w:t>
      </w:r>
    </w:p>
    <w:p w:rsidR="00C27B23" w:rsidRPr="00713BFD" w:rsidRDefault="00713BFD" w:rsidP="00713BFD">
      <w:pPr>
        <w:tabs>
          <w:tab w:val="left" w:pos="0"/>
        </w:tabs>
        <w:spacing w:after="0" w:line="360" w:lineRule="auto"/>
        <w:rPr>
          <w:rFonts w:ascii="Garamond" w:hAnsi="Garamond"/>
        </w:rPr>
      </w:pPr>
      <w:r>
        <w:rPr>
          <w:rFonts w:ascii="Garamond" w:hAnsi="Garamond"/>
        </w:rPr>
        <w:t xml:space="preserve">Riportare </w:t>
      </w:r>
      <w:r w:rsidR="0048249A" w:rsidRPr="00713BFD">
        <w:rPr>
          <w:rFonts w:ascii="Garamond" w:hAnsi="Garamond"/>
        </w:rPr>
        <w:t>l’elenco degli uffici periferici</w:t>
      </w:r>
      <w:r>
        <w:rPr>
          <w:rFonts w:ascii="Garamond" w:hAnsi="Garamond"/>
        </w:rPr>
        <w:t xml:space="preserve"> selezionati</w:t>
      </w:r>
      <w:r w:rsidR="008A0378" w:rsidRPr="00713BFD">
        <w:rPr>
          <w:rFonts w:ascii="Garamond" w:hAnsi="Garamond"/>
        </w:rPr>
        <w:t>.</w:t>
      </w:r>
    </w:p>
    <w:p w:rsidR="00C27B23" w:rsidRPr="009C6FAC" w:rsidRDefault="00C27B23">
      <w:pPr>
        <w:pStyle w:val="Paragrafoelenco"/>
        <w:spacing w:after="0" w:line="276" w:lineRule="auto"/>
        <w:ind w:left="720" w:firstLine="0"/>
        <w:rPr>
          <w:rFonts w:ascii="Garamond" w:hAnsi="Garamond"/>
        </w:rPr>
      </w:pPr>
    </w:p>
    <w:p w:rsidR="00C27B23" w:rsidRPr="009C6FAC" w:rsidRDefault="0048249A">
      <w:pPr>
        <w:pStyle w:val="Paragrafoelenco"/>
        <w:spacing w:line="360" w:lineRule="auto"/>
        <w:ind w:left="0" w:firstLine="0"/>
        <w:rPr>
          <w:rFonts w:ascii="Garamond" w:hAnsi="Garamond"/>
          <w:b/>
          <w:i/>
        </w:rPr>
      </w:pPr>
      <w:r w:rsidRPr="009C6FAC">
        <w:rPr>
          <w:rFonts w:ascii="Garamond" w:hAnsi="Garamond"/>
          <w:b/>
          <w:i/>
        </w:rPr>
        <w:t xml:space="preserve">Procedure e modalità seguite per la rilevazione </w:t>
      </w:r>
    </w:p>
    <w:p w:rsidR="00C27B23" w:rsidRPr="009C6FAC" w:rsidRDefault="00501516" w:rsidP="007A107C">
      <w:pPr>
        <w:pStyle w:val="Default"/>
        <w:spacing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Si indicano di seguito le modalità seguite per condurre la rilevazione:</w:t>
      </w:r>
      <w:r w:rsidR="0048249A" w:rsidRPr="009C6FAC">
        <w:rPr>
          <w:rFonts w:ascii="Garamond" w:hAnsi="Garamond"/>
        </w:rPr>
        <w:t>:</w:t>
      </w:r>
    </w:p>
    <w:p w:rsidR="00C27B23" w:rsidRPr="009C6FAC" w:rsidRDefault="0048249A" w:rsidP="007A107C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Garamond" w:hAnsi="Garamond"/>
        </w:rPr>
      </w:pPr>
      <w:r w:rsidRPr="009C6FAC">
        <w:rPr>
          <w:rFonts w:ascii="Garamond" w:hAnsi="Garamond"/>
        </w:rPr>
        <w:t>verifica dell’attività svolta dal Responsabile della</w:t>
      </w:r>
      <w:r w:rsidR="007A107C">
        <w:rPr>
          <w:rFonts w:ascii="Garamond" w:hAnsi="Garamond"/>
        </w:rPr>
        <w:t xml:space="preserve"> preve</w:t>
      </w:r>
      <w:r w:rsidR="00713BFD">
        <w:rPr>
          <w:rFonts w:ascii="Garamond" w:hAnsi="Garamond"/>
        </w:rPr>
        <w:t>nzione della corruzione e della</w:t>
      </w:r>
      <w:r w:rsidRPr="009C6FAC">
        <w:rPr>
          <w:rFonts w:ascii="Garamond" w:hAnsi="Garamond"/>
        </w:rPr>
        <w:t xml:space="preserve"> trasparenza per riscontrare l’adempimento degli obblighi di pubblicazione;</w:t>
      </w:r>
    </w:p>
    <w:p w:rsidR="00C27B23" w:rsidRPr="009C6FAC" w:rsidRDefault="0048249A" w:rsidP="007A107C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Garamond" w:hAnsi="Garamond"/>
        </w:rPr>
      </w:pPr>
      <w:r w:rsidRPr="009C6FAC">
        <w:rPr>
          <w:rFonts w:ascii="Garamond" w:hAnsi="Garamond"/>
        </w:rPr>
        <w:t>esame della documentazione e delle banche dati relative ai dati oggetto di attestazione;</w:t>
      </w:r>
    </w:p>
    <w:p w:rsidR="00C27B23" w:rsidRPr="009C6FAC" w:rsidRDefault="0048249A" w:rsidP="007A107C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Garamond" w:hAnsi="Garamond"/>
        </w:rPr>
      </w:pPr>
      <w:r w:rsidRPr="009C6FAC">
        <w:rPr>
          <w:rFonts w:ascii="Garamond" w:hAnsi="Garamond"/>
        </w:rPr>
        <w:t>colloqui con i responsabili della trasmissione dei dati;</w:t>
      </w:r>
    </w:p>
    <w:p w:rsidR="00C27B23" w:rsidRPr="009C6FAC" w:rsidRDefault="0048249A" w:rsidP="007A107C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Garamond" w:hAnsi="Garamond"/>
        </w:rPr>
      </w:pPr>
      <w:r w:rsidRPr="009C6FAC">
        <w:rPr>
          <w:rFonts w:ascii="Garamond" w:hAnsi="Garamond"/>
        </w:rPr>
        <w:t>colloqui con i responsabili della pubblicazione dei dati;</w:t>
      </w:r>
    </w:p>
    <w:p w:rsidR="00C27B23" w:rsidRPr="009C6FAC" w:rsidRDefault="0048249A" w:rsidP="007A107C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Garamond" w:hAnsi="Garamond"/>
        </w:rPr>
      </w:pPr>
      <w:r w:rsidRPr="009C6FAC">
        <w:rPr>
          <w:rFonts w:ascii="Garamond" w:hAnsi="Garamond"/>
        </w:rPr>
        <w:t xml:space="preserve">verifica </w:t>
      </w:r>
      <w:r w:rsidR="00713BFD">
        <w:rPr>
          <w:rFonts w:ascii="Garamond" w:hAnsi="Garamond"/>
        </w:rPr>
        <w:t xml:space="preserve">diretta </w:t>
      </w:r>
      <w:r w:rsidRPr="009C6FAC">
        <w:rPr>
          <w:rFonts w:ascii="Garamond" w:hAnsi="Garamond"/>
        </w:rPr>
        <w:t>sul sito istituzionale, anche attraverso l’utilizzo di supporti informatici</w:t>
      </w:r>
      <w:r w:rsidR="008A0378">
        <w:rPr>
          <w:rFonts w:ascii="Garamond" w:hAnsi="Garamond"/>
        </w:rPr>
        <w:t>.</w:t>
      </w:r>
    </w:p>
    <w:p w:rsidR="00C27B23" w:rsidRPr="009C6FAC" w:rsidRDefault="00C27B23">
      <w:pPr>
        <w:spacing w:line="360" w:lineRule="auto"/>
        <w:rPr>
          <w:rFonts w:ascii="Garamond" w:hAnsi="Garamond"/>
          <w:u w:val="single"/>
        </w:rPr>
      </w:pPr>
    </w:p>
    <w:p w:rsidR="00C27B23" w:rsidRPr="009C6FAC" w:rsidRDefault="0048249A">
      <w:pPr>
        <w:spacing w:line="360" w:lineRule="auto"/>
        <w:rPr>
          <w:rFonts w:ascii="Garamond" w:hAnsi="Garamond"/>
          <w:b/>
          <w:i/>
        </w:rPr>
      </w:pPr>
      <w:r w:rsidRPr="009C6FAC">
        <w:rPr>
          <w:rFonts w:ascii="Garamond" w:hAnsi="Garamond"/>
          <w:b/>
          <w:i/>
        </w:rPr>
        <w:t>Aspetti critici riscontrati nel corso della rilevazione</w:t>
      </w:r>
    </w:p>
    <w:p w:rsidR="00C27B23" w:rsidRDefault="00501516">
      <w:pPr>
        <w:spacing w:line="360" w:lineRule="auto"/>
        <w:rPr>
          <w:rFonts w:ascii="Garamond" w:hAnsi="Garamond"/>
        </w:rPr>
      </w:pPr>
      <w:r w:rsidRPr="00501516">
        <w:rPr>
          <w:rFonts w:ascii="Garamond" w:hAnsi="Garamond"/>
        </w:rPr>
        <w:t xml:space="preserve">La maggiore criticità incontrata riguarda </w:t>
      </w:r>
      <w:r>
        <w:rPr>
          <w:rFonts w:ascii="Garamond" w:hAnsi="Garamond"/>
        </w:rPr>
        <w:t>il calcolo dell’indicatore dei tempi medi di pagamento relativi ai fornitori. Sin ora infatti l’ente non aveva calcolato un vero e proprio indice matematico ma aveva riportato la tendenza media dell’amministrazione a pagare i fornitori a breve, a pochi giorni e comunque non oltre i 30 giorni dal ricevimento della fattura.</w:t>
      </w:r>
    </w:p>
    <w:p w:rsidR="000E227C" w:rsidRDefault="00501516">
      <w:pPr>
        <w:spacing w:line="360" w:lineRule="auto"/>
        <w:rPr>
          <w:rFonts w:ascii="Garamond" w:hAnsi="Garamond"/>
        </w:rPr>
      </w:pPr>
      <w:r>
        <w:rPr>
          <w:rFonts w:ascii="Garamond" w:hAnsi="Garamond"/>
        </w:rPr>
        <w:t xml:space="preserve">L’amministrazione tiene dal 2017 un elenco completo dei pagamenti che pubblica sul sito istituzionale nella relativa sezione AMMINISTRAZIONE TRASPARENTE/PAGAMENTI DELL’AMMINISTRAZIONE, riportante la data </w:t>
      </w:r>
      <w:r w:rsidR="000E227C">
        <w:rPr>
          <w:rFonts w:ascii="Garamond" w:hAnsi="Garamond"/>
        </w:rPr>
        <w:t>del pagamento ma non la data di ricezione della fattura. Tale mancanza non rende possibile il calcolo dell’indicatore dei tempi medi di pagamento.</w:t>
      </w:r>
    </w:p>
    <w:p w:rsidR="00501516" w:rsidRDefault="000E227C">
      <w:pPr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Si è dunque stabilito che a far data dal 01/01/2019 venisse riportata anche la data di ricezione/emissione della fattura nel suddetto elenco. Su base trimestrale è stato dunque possibile calcolare l’indicatore richiesto.</w:t>
      </w:r>
    </w:p>
    <w:p w:rsidR="000E227C" w:rsidRPr="00501516" w:rsidRDefault="000E227C">
      <w:pPr>
        <w:spacing w:line="360" w:lineRule="auto"/>
        <w:rPr>
          <w:rFonts w:ascii="Garamond" w:hAnsi="Garamond"/>
        </w:rPr>
      </w:pPr>
      <w:r>
        <w:rPr>
          <w:rFonts w:ascii="Garamond" w:hAnsi="Garamond"/>
        </w:rPr>
        <w:t xml:space="preserve">Altra area di criticità si è riscontrata nella valutazione di </w:t>
      </w:r>
      <w:r w:rsidRPr="000E227C">
        <w:rPr>
          <w:rFonts w:ascii="Garamond" w:hAnsi="Garamond"/>
        </w:rPr>
        <w:t>pubblicazione</w:t>
      </w:r>
      <w:r>
        <w:rPr>
          <w:rFonts w:ascii="Garamond" w:hAnsi="Garamond"/>
        </w:rPr>
        <w:t xml:space="preserve">, </w:t>
      </w:r>
      <w:r w:rsidRPr="000E227C">
        <w:rPr>
          <w:rFonts w:ascii="Garamond" w:hAnsi="Garamond"/>
        </w:rPr>
        <w:t>completezza del contenuto</w:t>
      </w:r>
      <w:r>
        <w:rPr>
          <w:rFonts w:ascii="Garamond" w:hAnsi="Garamond"/>
        </w:rPr>
        <w:t xml:space="preserve">, </w:t>
      </w:r>
      <w:r w:rsidRPr="000E227C">
        <w:rPr>
          <w:rFonts w:ascii="Garamond" w:hAnsi="Garamond"/>
        </w:rPr>
        <w:t>completezza rispetto agli uffici</w:t>
      </w:r>
      <w:r>
        <w:rPr>
          <w:rFonts w:ascii="Garamond" w:hAnsi="Garamond"/>
        </w:rPr>
        <w:t xml:space="preserve">, </w:t>
      </w:r>
      <w:r w:rsidRPr="000E227C">
        <w:rPr>
          <w:rFonts w:ascii="Garamond" w:hAnsi="Garamond"/>
        </w:rPr>
        <w:t>aggiornamento</w:t>
      </w:r>
      <w:r>
        <w:rPr>
          <w:rFonts w:ascii="Garamond" w:hAnsi="Garamond"/>
        </w:rPr>
        <w:t xml:space="preserve">, </w:t>
      </w:r>
      <w:r w:rsidRPr="000E227C">
        <w:rPr>
          <w:rFonts w:ascii="Garamond" w:hAnsi="Garamond"/>
        </w:rPr>
        <w:t>apertura formato</w:t>
      </w:r>
      <w:r>
        <w:rPr>
          <w:rFonts w:ascii="Garamond" w:hAnsi="Garamond"/>
        </w:rPr>
        <w:t xml:space="preserve"> dei </w:t>
      </w:r>
      <w:r w:rsidRPr="000E227C">
        <w:rPr>
          <w:rFonts w:ascii="Garamond" w:hAnsi="Garamond"/>
        </w:rPr>
        <w:t>Provvedimenti organi indirizzo politico</w:t>
      </w:r>
      <w:r>
        <w:rPr>
          <w:rFonts w:ascii="Garamond" w:hAnsi="Garamond"/>
        </w:rPr>
        <w:t xml:space="preserve"> in quanto sino ad oragli stessi non sono mai stati pubblicati. RPC ha concordato di confrontarsi a riguardo con il Segretario entro il 31.12.2019</w:t>
      </w:r>
      <w:bookmarkStart w:id="0" w:name="_GoBack"/>
      <w:bookmarkEnd w:id="0"/>
    </w:p>
    <w:p w:rsidR="008A0378" w:rsidRPr="009C6FAC" w:rsidRDefault="008A0378">
      <w:pPr>
        <w:spacing w:line="360" w:lineRule="auto"/>
        <w:rPr>
          <w:rFonts w:ascii="Garamond" w:hAnsi="Garamond"/>
          <w:b/>
          <w:u w:val="single"/>
        </w:rPr>
      </w:pPr>
    </w:p>
    <w:p w:rsidR="00C27B23" w:rsidRPr="009C6FAC" w:rsidRDefault="0048249A">
      <w:pPr>
        <w:spacing w:line="360" w:lineRule="auto"/>
        <w:rPr>
          <w:rFonts w:ascii="Garamond" w:hAnsi="Garamond"/>
          <w:b/>
          <w:i/>
        </w:rPr>
      </w:pPr>
      <w:r w:rsidRPr="009C6FAC">
        <w:rPr>
          <w:rFonts w:ascii="Garamond" w:hAnsi="Garamond"/>
          <w:b/>
          <w:i/>
        </w:rPr>
        <w:t>Eventuale documentazione da allegare</w:t>
      </w:r>
    </w:p>
    <w:sectPr w:rsidR="00C27B23" w:rsidRPr="009C6FAC">
      <w:headerReference w:type="default" r:id="rId8"/>
      <w:pgSz w:w="11906" w:h="16838"/>
      <w:pgMar w:top="1417" w:right="1134" w:bottom="708" w:left="1134" w:header="708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106A" w:rsidRDefault="0060106A">
      <w:pPr>
        <w:spacing w:after="0" w:line="240" w:lineRule="auto"/>
      </w:pPr>
      <w:r>
        <w:separator/>
      </w:r>
    </w:p>
  </w:endnote>
  <w:endnote w:type="continuationSeparator" w:id="0">
    <w:p w:rsidR="0060106A" w:rsidRDefault="00601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106A" w:rsidRDefault="0060106A">
      <w:pPr>
        <w:spacing w:after="0" w:line="240" w:lineRule="auto"/>
      </w:pPr>
      <w:r>
        <w:separator/>
      </w:r>
    </w:p>
  </w:footnote>
  <w:footnote w:type="continuationSeparator" w:id="0">
    <w:p w:rsidR="0060106A" w:rsidRDefault="006010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B23" w:rsidRPr="006E496C" w:rsidRDefault="0048249A" w:rsidP="006E496C">
    <w:pPr>
      <w:pStyle w:val="Intestazione"/>
      <w:jc w:val="right"/>
      <w:rPr>
        <w:rFonts w:ascii="Garamond" w:hAnsi="Garamond" w:cs="Times New Roman"/>
        <w:b/>
      </w:rPr>
    </w:pPr>
    <w:r w:rsidRPr="006E496C">
      <w:rPr>
        <w:rFonts w:ascii="Garamond" w:hAnsi="Garamond"/>
        <w:b/>
      </w:rPr>
      <w:t xml:space="preserve">Allegato 3 alla </w:t>
    </w:r>
    <w:r w:rsidRPr="006E496C">
      <w:rPr>
        <w:rFonts w:ascii="Garamond" w:hAnsi="Garamond" w:cs="Times New Roman"/>
        <w:b/>
      </w:rPr>
      <w:t xml:space="preserve">delibera n. </w:t>
    </w:r>
    <w:r w:rsidR="002C572E" w:rsidRPr="006E496C">
      <w:rPr>
        <w:rFonts w:ascii="Garamond" w:hAnsi="Garamond" w:cs="Times New Roman"/>
        <w:b/>
      </w:rPr>
      <w:t>141</w:t>
    </w:r>
    <w:r w:rsidRPr="006E496C">
      <w:rPr>
        <w:rFonts w:ascii="Garamond" w:hAnsi="Garamond" w:cs="Times New Roman"/>
        <w:b/>
      </w:rPr>
      <w:t>/201</w:t>
    </w:r>
    <w:r w:rsidR="00FC7906" w:rsidRPr="006E496C">
      <w:rPr>
        <w:rFonts w:ascii="Garamond" w:hAnsi="Garamond" w:cs="Times New Roman"/>
        <w:b/>
      </w:rPr>
      <w:t>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2B02D7"/>
    <w:multiLevelType w:val="multilevel"/>
    <w:tmpl w:val="562438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 w:firstLine="0"/>
      </w:pPr>
    </w:lvl>
  </w:abstractNum>
  <w:abstractNum w:abstractNumId="1">
    <w:nsid w:val="3E981BA1"/>
    <w:multiLevelType w:val="multilevel"/>
    <w:tmpl w:val="42B6B57E"/>
    <w:lvl w:ilvl="0">
      <w:start w:val="1"/>
      <w:numFmt w:val="none"/>
      <w:pStyle w:val="Titolo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54743015"/>
    <w:multiLevelType w:val="multilevel"/>
    <w:tmpl w:val="9568540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274FF9"/>
    <w:multiLevelType w:val="hybridMultilevel"/>
    <w:tmpl w:val="4CD022FC"/>
    <w:lvl w:ilvl="0" w:tplc="77CA1D2A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B23"/>
    <w:rsid w:val="000E227C"/>
    <w:rsid w:val="0016468A"/>
    <w:rsid w:val="0024134D"/>
    <w:rsid w:val="002C572E"/>
    <w:rsid w:val="003E1CF5"/>
    <w:rsid w:val="0048249A"/>
    <w:rsid w:val="004F18CD"/>
    <w:rsid w:val="00501516"/>
    <w:rsid w:val="0060106A"/>
    <w:rsid w:val="006E496C"/>
    <w:rsid w:val="007052EA"/>
    <w:rsid w:val="00713BFD"/>
    <w:rsid w:val="007A107C"/>
    <w:rsid w:val="00837860"/>
    <w:rsid w:val="00861FE1"/>
    <w:rsid w:val="008A0378"/>
    <w:rsid w:val="00955140"/>
    <w:rsid w:val="009A5646"/>
    <w:rsid w:val="009C6FAC"/>
    <w:rsid w:val="00A52DF7"/>
    <w:rsid w:val="00AF790D"/>
    <w:rsid w:val="00B35349"/>
    <w:rsid w:val="00C27B23"/>
    <w:rsid w:val="00D27496"/>
    <w:rsid w:val="00FC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rPr>
      <w:position w:val="22"/>
      <w:sz w:val="14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TestonotaapidipaginaCarattere1">
    <w:name w:val="Testo nota a piè di pagina Carattere1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TitoloCarattere">
    <w:name w:val="Titolo Carattere"/>
    <w:basedOn w:val="Carpredefinitoparagrafo"/>
    <w:rPr>
      <w:rFonts w:ascii="Times New Roman" w:eastAsia="Times New Roman" w:hAnsi="Times New Roman" w:cs="Times New Roman"/>
      <w:b/>
      <w:bCs/>
      <w:i/>
      <w:sz w:val="36"/>
      <w:szCs w:val="32"/>
      <w:lang w:eastAsia="ar-SA"/>
    </w:rPr>
  </w:style>
  <w:style w:type="character" w:customStyle="1" w:styleId="IntestazioneCarattere">
    <w:name w:val="Intestazione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SoggettocommentoCarattere">
    <w:name w:val="Soggetto commento Carattere"/>
    <w:basedOn w:val="TestocommentoCarattere"/>
    <w:rPr>
      <w:rFonts w:ascii="Times New Roman" w:eastAsia="Times New Roman" w:hAnsi="Times New Roman" w:cs="Cambria"/>
      <w:b/>
      <w:bCs/>
      <w:sz w:val="20"/>
      <w:szCs w:val="20"/>
      <w:lang w:eastAsia="ar-SA"/>
    </w:rPr>
  </w:style>
  <w:style w:type="character" w:customStyle="1" w:styleId="TestofumettoCarattere">
    <w:name w:val="Testo fumetto Carattere"/>
    <w:basedOn w:val="Carpredefinitoparagrafo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WWCharLFO13LVL1">
    <w:name w:val="WW_CharLFO13LVL1"/>
    <w:rPr>
      <w:rFonts w:ascii="Times New Roman" w:eastAsia="Times New Roman" w:hAnsi="Times New Roman" w:cs="Times New Roman"/>
    </w:rPr>
  </w:style>
  <w:style w:type="character" w:customStyle="1" w:styleId="WWCharLFO13LVL2">
    <w:name w:val="WW_CharLFO13LVL2"/>
    <w:rPr>
      <w:rFonts w:ascii="Courier New" w:hAnsi="Courier New" w:cs="Courier New"/>
    </w:rPr>
  </w:style>
  <w:style w:type="character" w:customStyle="1" w:styleId="WWCharLFO13LVL3">
    <w:name w:val="WW_CharLFO13LVL3"/>
    <w:rPr>
      <w:rFonts w:ascii="Wingdings" w:hAnsi="Wingdings"/>
    </w:rPr>
  </w:style>
  <w:style w:type="character" w:customStyle="1" w:styleId="WWCharLFO13LVL4">
    <w:name w:val="WW_CharLFO13LVL4"/>
    <w:rPr>
      <w:rFonts w:ascii="Symbol" w:hAnsi="Symbol"/>
    </w:rPr>
  </w:style>
  <w:style w:type="character" w:customStyle="1" w:styleId="WWCharLFO13LVL5">
    <w:name w:val="WW_CharLFO13LVL5"/>
    <w:rPr>
      <w:rFonts w:ascii="Courier New" w:hAnsi="Courier New" w:cs="Courier New"/>
    </w:rPr>
  </w:style>
  <w:style w:type="character" w:customStyle="1" w:styleId="WWCharLFO13LVL6">
    <w:name w:val="WW_CharLFO13LVL6"/>
    <w:rPr>
      <w:rFonts w:ascii="Wingdings" w:hAnsi="Wingdings"/>
    </w:rPr>
  </w:style>
  <w:style w:type="character" w:customStyle="1" w:styleId="WWCharLFO13LVL7">
    <w:name w:val="WW_CharLFO13LVL7"/>
    <w:rPr>
      <w:rFonts w:ascii="Symbol" w:hAnsi="Symbol"/>
    </w:rPr>
  </w:style>
  <w:style w:type="character" w:customStyle="1" w:styleId="WWCharLFO13LVL8">
    <w:name w:val="WW_CharLFO13LVL8"/>
    <w:rPr>
      <w:rFonts w:ascii="Courier New" w:hAnsi="Courier New" w:cs="Courier New"/>
    </w:rPr>
  </w:style>
  <w:style w:type="character" w:customStyle="1" w:styleId="WWCharLFO13LVL9">
    <w:name w:val="WW_CharLFO13LVL9"/>
    <w:rPr>
      <w:rFonts w:ascii="Wingdings" w:hAnsi="Wingdings"/>
    </w:rPr>
  </w:style>
  <w:style w:type="character" w:customStyle="1" w:styleId="WWCharLFO15LVL1">
    <w:name w:val="WW_CharLFO15LVL1"/>
    <w:rPr>
      <w:rFonts w:ascii="Times New Roman" w:eastAsia="Calibri" w:hAnsi="Times New Roman" w:cs="Times New Roman"/>
      <w:sz w:val="20"/>
    </w:rPr>
  </w:style>
  <w:style w:type="character" w:customStyle="1" w:styleId="WWCharLFO15LVL2">
    <w:name w:val="WW_CharLFO15LVL2"/>
    <w:rPr>
      <w:rFonts w:ascii="Courier New" w:hAnsi="Courier New" w:cs="Courier New"/>
    </w:rPr>
  </w:style>
  <w:style w:type="character" w:customStyle="1" w:styleId="WWCharLFO15LVL3">
    <w:name w:val="WW_CharLFO15LVL3"/>
    <w:rPr>
      <w:rFonts w:ascii="Wingdings" w:hAnsi="Wingdings"/>
    </w:rPr>
  </w:style>
  <w:style w:type="character" w:customStyle="1" w:styleId="WWCharLFO15LVL4">
    <w:name w:val="WW_CharLFO15LVL4"/>
    <w:rPr>
      <w:rFonts w:ascii="Symbol" w:hAnsi="Symbol"/>
    </w:rPr>
  </w:style>
  <w:style w:type="character" w:customStyle="1" w:styleId="WWCharLFO15LVL5">
    <w:name w:val="WW_CharLFO15LVL5"/>
    <w:rPr>
      <w:rFonts w:ascii="Courier New" w:hAnsi="Courier New" w:cs="Courier New"/>
    </w:rPr>
  </w:style>
  <w:style w:type="character" w:customStyle="1" w:styleId="WWCharLFO15LVL6">
    <w:name w:val="WW_CharLFO15LVL6"/>
    <w:rPr>
      <w:rFonts w:ascii="Wingdings" w:hAnsi="Wingdings"/>
    </w:rPr>
  </w:style>
  <w:style w:type="character" w:customStyle="1" w:styleId="WWCharLFO15LVL7">
    <w:name w:val="WW_CharLFO15LVL7"/>
    <w:rPr>
      <w:rFonts w:ascii="Symbol" w:hAnsi="Symbol"/>
    </w:rPr>
  </w:style>
  <w:style w:type="character" w:customStyle="1" w:styleId="WWCharLFO15LVL8">
    <w:name w:val="WW_CharLFO15LVL8"/>
    <w:rPr>
      <w:rFonts w:ascii="Courier New" w:hAnsi="Courier New" w:cs="Courier New"/>
    </w:rPr>
  </w:style>
  <w:style w:type="character" w:customStyle="1" w:styleId="WWCharLFO15LVL9">
    <w:name w:val="WW_CharLFO15LVL9"/>
    <w:rPr>
      <w:rFonts w:ascii="Wingdings" w:hAnsi="Wingdings"/>
    </w:rPr>
  </w:style>
  <w:style w:type="character" w:customStyle="1" w:styleId="Caratteredellanota">
    <w:name w:val="Carattere della nota"/>
  </w:style>
  <w:style w:type="paragraph" w:styleId="Testonotaapidipagina">
    <w:name w:val="footnote text"/>
    <w:basedOn w:val="Normale"/>
  </w:style>
  <w:style w:type="paragraph" w:styleId="Paragrafoelenco">
    <w:name w:val="List Paragraph"/>
    <w:basedOn w:val="Normale"/>
    <w:pPr>
      <w:ind w:left="357" w:hanging="357"/>
    </w:pPr>
  </w:style>
  <w:style w:type="paragraph" w:styleId="Titolo">
    <w:name w:val="Title"/>
    <w:basedOn w:val="Normale"/>
    <w:next w:val="Normale"/>
    <w:autoRedefine/>
    <w:pPr>
      <w:numPr>
        <w:numId w:val="1"/>
      </w:numPr>
      <w:spacing w:before="240" w:after="240"/>
      <w:jc w:val="center"/>
      <w:outlineLvl w:val="0"/>
    </w:pPr>
    <w:rPr>
      <w:rFonts w:cs="Times New Roman"/>
      <w:b/>
      <w:bCs/>
      <w:i/>
      <w:sz w:val="36"/>
      <w:szCs w:val="32"/>
    </w:rPr>
  </w:style>
  <w:style w:type="paragraph" w:customStyle="1" w:styleId="Corpodeltesto">
    <w:name w:val="Corpo del testo"/>
    <w:basedOn w:val="Normale"/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/>
    </w:pPr>
  </w:style>
  <w:style w:type="paragraph" w:customStyle="1" w:styleId="Default">
    <w:name w:val="Default"/>
    <w:pPr>
      <w:keepNext/>
      <w:pBdr>
        <w:top w:val="nil"/>
        <w:left w:val="nil"/>
        <w:bottom w:val="nil"/>
        <w:right w:val="nil"/>
      </w:pBdr>
      <w:suppressAutoHyphens/>
      <w:autoSpaceDE w:val="0"/>
      <w:spacing w:after="0" w:line="100" w:lineRule="atLeast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Testocommento">
    <w:name w:val="annotation text"/>
    <w:basedOn w:val="Normale"/>
    <w:rPr>
      <w:sz w:val="20"/>
      <w:szCs w:val="20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paragraph" w:styleId="Testofumetto">
    <w:name w:val="Balloon Text"/>
    <w:basedOn w:val="Normale"/>
    <w:pPr>
      <w:spacing w:after="0"/>
    </w:pPr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rPr>
      <w:position w:val="22"/>
      <w:sz w:val="14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TestonotaapidipaginaCarattere1">
    <w:name w:val="Testo nota a piè di pagina Carattere1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TitoloCarattere">
    <w:name w:val="Titolo Carattere"/>
    <w:basedOn w:val="Carpredefinitoparagrafo"/>
    <w:rPr>
      <w:rFonts w:ascii="Times New Roman" w:eastAsia="Times New Roman" w:hAnsi="Times New Roman" w:cs="Times New Roman"/>
      <w:b/>
      <w:bCs/>
      <w:i/>
      <w:sz w:val="36"/>
      <w:szCs w:val="32"/>
      <w:lang w:eastAsia="ar-SA"/>
    </w:rPr>
  </w:style>
  <w:style w:type="character" w:customStyle="1" w:styleId="IntestazioneCarattere">
    <w:name w:val="Intestazione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SoggettocommentoCarattere">
    <w:name w:val="Soggetto commento Carattere"/>
    <w:basedOn w:val="TestocommentoCarattere"/>
    <w:rPr>
      <w:rFonts w:ascii="Times New Roman" w:eastAsia="Times New Roman" w:hAnsi="Times New Roman" w:cs="Cambria"/>
      <w:b/>
      <w:bCs/>
      <w:sz w:val="20"/>
      <w:szCs w:val="20"/>
      <w:lang w:eastAsia="ar-SA"/>
    </w:rPr>
  </w:style>
  <w:style w:type="character" w:customStyle="1" w:styleId="TestofumettoCarattere">
    <w:name w:val="Testo fumetto Carattere"/>
    <w:basedOn w:val="Carpredefinitoparagrafo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WWCharLFO13LVL1">
    <w:name w:val="WW_CharLFO13LVL1"/>
    <w:rPr>
      <w:rFonts w:ascii="Times New Roman" w:eastAsia="Times New Roman" w:hAnsi="Times New Roman" w:cs="Times New Roman"/>
    </w:rPr>
  </w:style>
  <w:style w:type="character" w:customStyle="1" w:styleId="WWCharLFO13LVL2">
    <w:name w:val="WW_CharLFO13LVL2"/>
    <w:rPr>
      <w:rFonts w:ascii="Courier New" w:hAnsi="Courier New" w:cs="Courier New"/>
    </w:rPr>
  </w:style>
  <w:style w:type="character" w:customStyle="1" w:styleId="WWCharLFO13LVL3">
    <w:name w:val="WW_CharLFO13LVL3"/>
    <w:rPr>
      <w:rFonts w:ascii="Wingdings" w:hAnsi="Wingdings"/>
    </w:rPr>
  </w:style>
  <w:style w:type="character" w:customStyle="1" w:styleId="WWCharLFO13LVL4">
    <w:name w:val="WW_CharLFO13LVL4"/>
    <w:rPr>
      <w:rFonts w:ascii="Symbol" w:hAnsi="Symbol"/>
    </w:rPr>
  </w:style>
  <w:style w:type="character" w:customStyle="1" w:styleId="WWCharLFO13LVL5">
    <w:name w:val="WW_CharLFO13LVL5"/>
    <w:rPr>
      <w:rFonts w:ascii="Courier New" w:hAnsi="Courier New" w:cs="Courier New"/>
    </w:rPr>
  </w:style>
  <w:style w:type="character" w:customStyle="1" w:styleId="WWCharLFO13LVL6">
    <w:name w:val="WW_CharLFO13LVL6"/>
    <w:rPr>
      <w:rFonts w:ascii="Wingdings" w:hAnsi="Wingdings"/>
    </w:rPr>
  </w:style>
  <w:style w:type="character" w:customStyle="1" w:styleId="WWCharLFO13LVL7">
    <w:name w:val="WW_CharLFO13LVL7"/>
    <w:rPr>
      <w:rFonts w:ascii="Symbol" w:hAnsi="Symbol"/>
    </w:rPr>
  </w:style>
  <w:style w:type="character" w:customStyle="1" w:styleId="WWCharLFO13LVL8">
    <w:name w:val="WW_CharLFO13LVL8"/>
    <w:rPr>
      <w:rFonts w:ascii="Courier New" w:hAnsi="Courier New" w:cs="Courier New"/>
    </w:rPr>
  </w:style>
  <w:style w:type="character" w:customStyle="1" w:styleId="WWCharLFO13LVL9">
    <w:name w:val="WW_CharLFO13LVL9"/>
    <w:rPr>
      <w:rFonts w:ascii="Wingdings" w:hAnsi="Wingdings"/>
    </w:rPr>
  </w:style>
  <w:style w:type="character" w:customStyle="1" w:styleId="WWCharLFO15LVL1">
    <w:name w:val="WW_CharLFO15LVL1"/>
    <w:rPr>
      <w:rFonts w:ascii="Times New Roman" w:eastAsia="Calibri" w:hAnsi="Times New Roman" w:cs="Times New Roman"/>
      <w:sz w:val="20"/>
    </w:rPr>
  </w:style>
  <w:style w:type="character" w:customStyle="1" w:styleId="WWCharLFO15LVL2">
    <w:name w:val="WW_CharLFO15LVL2"/>
    <w:rPr>
      <w:rFonts w:ascii="Courier New" w:hAnsi="Courier New" w:cs="Courier New"/>
    </w:rPr>
  </w:style>
  <w:style w:type="character" w:customStyle="1" w:styleId="WWCharLFO15LVL3">
    <w:name w:val="WW_CharLFO15LVL3"/>
    <w:rPr>
      <w:rFonts w:ascii="Wingdings" w:hAnsi="Wingdings"/>
    </w:rPr>
  </w:style>
  <w:style w:type="character" w:customStyle="1" w:styleId="WWCharLFO15LVL4">
    <w:name w:val="WW_CharLFO15LVL4"/>
    <w:rPr>
      <w:rFonts w:ascii="Symbol" w:hAnsi="Symbol"/>
    </w:rPr>
  </w:style>
  <w:style w:type="character" w:customStyle="1" w:styleId="WWCharLFO15LVL5">
    <w:name w:val="WW_CharLFO15LVL5"/>
    <w:rPr>
      <w:rFonts w:ascii="Courier New" w:hAnsi="Courier New" w:cs="Courier New"/>
    </w:rPr>
  </w:style>
  <w:style w:type="character" w:customStyle="1" w:styleId="WWCharLFO15LVL6">
    <w:name w:val="WW_CharLFO15LVL6"/>
    <w:rPr>
      <w:rFonts w:ascii="Wingdings" w:hAnsi="Wingdings"/>
    </w:rPr>
  </w:style>
  <w:style w:type="character" w:customStyle="1" w:styleId="WWCharLFO15LVL7">
    <w:name w:val="WW_CharLFO15LVL7"/>
    <w:rPr>
      <w:rFonts w:ascii="Symbol" w:hAnsi="Symbol"/>
    </w:rPr>
  </w:style>
  <w:style w:type="character" w:customStyle="1" w:styleId="WWCharLFO15LVL8">
    <w:name w:val="WW_CharLFO15LVL8"/>
    <w:rPr>
      <w:rFonts w:ascii="Courier New" w:hAnsi="Courier New" w:cs="Courier New"/>
    </w:rPr>
  </w:style>
  <w:style w:type="character" w:customStyle="1" w:styleId="WWCharLFO15LVL9">
    <w:name w:val="WW_CharLFO15LVL9"/>
    <w:rPr>
      <w:rFonts w:ascii="Wingdings" w:hAnsi="Wingdings"/>
    </w:rPr>
  </w:style>
  <w:style w:type="character" w:customStyle="1" w:styleId="Caratteredellanota">
    <w:name w:val="Carattere della nota"/>
  </w:style>
  <w:style w:type="paragraph" w:styleId="Testonotaapidipagina">
    <w:name w:val="footnote text"/>
    <w:basedOn w:val="Normale"/>
  </w:style>
  <w:style w:type="paragraph" w:styleId="Paragrafoelenco">
    <w:name w:val="List Paragraph"/>
    <w:basedOn w:val="Normale"/>
    <w:pPr>
      <w:ind w:left="357" w:hanging="357"/>
    </w:pPr>
  </w:style>
  <w:style w:type="paragraph" w:styleId="Titolo">
    <w:name w:val="Title"/>
    <w:basedOn w:val="Normale"/>
    <w:next w:val="Normale"/>
    <w:autoRedefine/>
    <w:pPr>
      <w:numPr>
        <w:numId w:val="1"/>
      </w:numPr>
      <w:spacing w:before="240" w:after="240"/>
      <w:jc w:val="center"/>
      <w:outlineLvl w:val="0"/>
    </w:pPr>
    <w:rPr>
      <w:rFonts w:cs="Times New Roman"/>
      <w:b/>
      <w:bCs/>
      <w:i/>
      <w:sz w:val="36"/>
      <w:szCs w:val="32"/>
    </w:rPr>
  </w:style>
  <w:style w:type="paragraph" w:customStyle="1" w:styleId="Corpodeltesto">
    <w:name w:val="Corpo del testo"/>
    <w:basedOn w:val="Normale"/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/>
    </w:pPr>
  </w:style>
  <w:style w:type="paragraph" w:customStyle="1" w:styleId="Default">
    <w:name w:val="Default"/>
    <w:pPr>
      <w:keepNext/>
      <w:pBdr>
        <w:top w:val="nil"/>
        <w:left w:val="nil"/>
        <w:bottom w:val="nil"/>
        <w:right w:val="nil"/>
      </w:pBdr>
      <w:suppressAutoHyphens/>
      <w:autoSpaceDE w:val="0"/>
      <w:spacing w:after="0" w:line="100" w:lineRule="atLeast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Testocommento">
    <w:name w:val="annotation text"/>
    <w:basedOn w:val="Normale"/>
    <w:rPr>
      <w:sz w:val="20"/>
      <w:szCs w:val="20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paragraph" w:styleId="Testofumetto">
    <w:name w:val="Balloon Text"/>
    <w:basedOn w:val="Normale"/>
    <w:pPr>
      <w:spacing w:after="0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i.siciliani</dc:creator>
  <cp:lastModifiedBy>Hewlett-Packard Company</cp:lastModifiedBy>
  <cp:revision>3</cp:revision>
  <cp:lastPrinted>2018-02-28T15:30:00Z</cp:lastPrinted>
  <dcterms:created xsi:type="dcterms:W3CDTF">2019-04-17T10:39:00Z</dcterms:created>
  <dcterms:modified xsi:type="dcterms:W3CDTF">2019-04-17T10:57:00Z</dcterms:modified>
</cp:coreProperties>
</file>